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2578">
            <w:pPr>
              <w:pStyle w:val="ConsPlusNormal"/>
              <w:jc w:val="center"/>
            </w:pPr>
            <w:r>
              <w:t>ТЭЦ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Pr="005A0E3B" w:rsidRDefault="005A0E3B" w:rsidP="005A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65:09:0000025:394</w:t>
            </w:r>
          </w:p>
          <w:p w:rsidR="005B38F0" w:rsidRDefault="005B38F0" w:rsidP="005A0E3B">
            <w:pPr>
              <w:spacing w:after="0" w:line="240" w:lineRule="auto"/>
              <w:jc w:val="center"/>
            </w:pP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ТЭЦ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5A0E3B">
              <w:t>ул.Пригородная</w:t>
            </w:r>
            <w:proofErr w:type="spellEnd"/>
            <w:r w:rsidR="005A0E3B">
              <w:t>, 2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AA1FE5" w:rsidP="00AA1FE5">
            <w:pPr>
              <w:pStyle w:val="ConsPlusNormal"/>
              <w:jc w:val="center"/>
            </w:pPr>
            <w:r>
              <w:t>1964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1964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 xml:space="preserve">Уголь марки БР, </w:t>
            </w:r>
            <w:proofErr w:type="gramStart"/>
            <w:r>
              <w:t>ДР</w:t>
            </w:r>
            <w:proofErr w:type="gramEnd"/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Мазут М-40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870099">
            <w:pPr>
              <w:pStyle w:val="ConsPlusNormal"/>
              <w:jc w:val="center"/>
            </w:pPr>
            <w:r>
              <w:t>11,9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3C5E70" w:rsidP="000E255E">
            <w:pPr>
              <w:pStyle w:val="ConsPlusNormal"/>
              <w:jc w:val="center"/>
            </w:pPr>
            <w:r>
              <w:t>0,</w:t>
            </w:r>
            <w:r w:rsidR="000E255E">
              <w:t>41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70,98 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441CA" w:rsidRDefault="005441CA" w:rsidP="005441CA">
            <w:pPr>
              <w:pStyle w:val="ConsPlusNormal"/>
              <w:jc w:val="center"/>
            </w:pPr>
            <w:r>
              <w:t>26,190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37271">
            <w:pPr>
              <w:pStyle w:val="ConsPlusNormal"/>
              <w:jc w:val="center"/>
            </w:pPr>
            <w:r>
              <w:t>20,133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E73BF" w:rsidP="00844C5C">
            <w:pPr>
              <w:pStyle w:val="ConsPlusNormal"/>
              <w:jc w:val="center"/>
            </w:pPr>
            <w:r>
              <w:t>3,7</w:t>
            </w:r>
            <w:r w:rsidR="00844C5C">
              <w:t>96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844C5C">
            <w:pPr>
              <w:pStyle w:val="ConsPlusNormal"/>
              <w:jc w:val="center"/>
            </w:pPr>
            <w:r>
              <w:t>2,261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04CD">
            <w:pPr>
              <w:pStyle w:val="ConsPlusNormal"/>
              <w:jc w:val="center"/>
            </w:pPr>
            <w:r>
              <w:t>Линия «Молодежная»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77782D" w:rsidP="005441CA">
            <w:pPr>
              <w:pStyle w:val="ConsPlusNormal"/>
              <w:jc w:val="center"/>
            </w:pPr>
            <w:r>
              <w:t>15-500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bookmarkStart w:id="1" w:name="_GoBack"/>
            <w:bookmarkEnd w:id="1"/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4A2D36" w:rsidP="004A2D36">
            <w:pPr>
              <w:pStyle w:val="ConsPlusNormal"/>
              <w:jc w:val="center"/>
            </w:pPr>
            <w:r>
              <w:t>28,988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ТЭЦ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ТЭЦ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70,98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70,98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 w:rsidP="000D61F5">
            <w:pPr>
              <w:pStyle w:val="ConsPlusNormal"/>
              <w:jc w:val="center"/>
            </w:pP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Молодежная, 17,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21,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23,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25,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27,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11а,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13а,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15, пер Восточный , 33,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18,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Школьная, 46,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48а,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48б,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50б, пер Зеленый, 3, пер Зеленый, 3а,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Волкова, 16,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Волкова, 20,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Шевченко, 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Шевченко, 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Героев, 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Героев, 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Героев, 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Героев, 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Героев,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Победы, 15,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Победы, 20,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</w:t>
            </w:r>
            <w:r w:rsidRPr="000D61F5">
              <w:lastRenderedPageBreak/>
              <w:t xml:space="preserve">Победы, 20а,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Победы, 22,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Победы, 24,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Тюленина,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34а,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34б,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34в,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40-а,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44,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50,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50а,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52а,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6а,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Молодежная, 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60,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60а,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62,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62а,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64а,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5,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 Комсомольская, 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10,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11,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 Комсомольская, 12,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16а,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Пионерская , 18а,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Победы, 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Победы , 1, б Дружбы , 1, б Дружбы , 5, б Дружбы , 7, б Дружбы , 11,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Советская , 19,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21,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 , 37, б Дружбы 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Катерная , 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Морская , 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Морская , 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8а,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12,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12а,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14,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Портовая, 16,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17,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Советская , 23,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25,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31,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62,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64,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66,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67,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68,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70,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73,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79,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82,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84,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84а,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86,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Советская , 88,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92,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96,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98,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102,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104,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108,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108а,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112,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112а,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116 б,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116 в,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116 г,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76б,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15а,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17а,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17б,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17в,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Школьная, 17г, </w:t>
            </w:r>
            <w:proofErr w:type="spellStart"/>
            <w:proofErr w:type="gramStart"/>
            <w:r w:rsidRPr="000D61F5">
              <w:t>ул</w:t>
            </w:r>
            <w:proofErr w:type="spellEnd"/>
            <w:proofErr w:type="gramEnd"/>
            <w:r w:rsidRPr="000D61F5">
              <w:t xml:space="preserve"> Чехова, 36,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65,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67,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69,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71,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54,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Советская , 56,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Стахановская, 16,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Стахановская, 19,  </w:t>
            </w:r>
            <w:proofErr w:type="spellStart"/>
            <w:r w:rsidRPr="000D61F5">
              <w:t>ул</w:t>
            </w:r>
            <w:proofErr w:type="spellEnd"/>
            <w:r w:rsidRPr="000D61F5">
              <w:t xml:space="preserve"> Чехова, 70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20.1.2.1. - </w:t>
            </w:r>
            <w:r>
              <w:lastRenderedPageBreak/>
              <w:t>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645D5A">
            <w:pPr>
              <w:pStyle w:val="ConsPlusNormal"/>
              <w:jc w:val="center"/>
            </w:pPr>
            <w:proofErr w:type="spellStart"/>
            <w:proofErr w:type="gramStart"/>
            <w:r w:rsidRPr="00645D5A">
              <w:t>ул</w:t>
            </w:r>
            <w:proofErr w:type="spellEnd"/>
            <w:proofErr w:type="gramEnd"/>
            <w:r w:rsidRPr="00645D5A">
              <w:t xml:space="preserve"> Стаха</w:t>
            </w:r>
            <w:r>
              <w:t xml:space="preserve">новская, 2а, </w:t>
            </w:r>
            <w:proofErr w:type="spellStart"/>
            <w:r>
              <w:t>ул</w:t>
            </w:r>
            <w:proofErr w:type="spellEnd"/>
            <w:r>
              <w:t xml:space="preserve"> Транспортная, 6</w:t>
            </w:r>
            <w:r w:rsidR="00433839">
              <w:t>, Чехова, 76Б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D5712">
            <w:pPr>
              <w:pStyle w:val="ConsPlusNormal"/>
              <w:jc w:val="center"/>
            </w:pP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Молодежная, 17,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21,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23,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25,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11а,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13а,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15, пер Восточный , 33,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15,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15а,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16,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18,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48а,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48б,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Школьная, 50б, пер Зеленый, 3, пер Зеленый, 3а,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Стахановская, 16,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Стахановская, 19,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Волкова , 18,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Волкова , 20,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Шевченко, 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Шевченко, 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Героев , 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Героев , 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Героев , 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Героев , 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Героев , 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Победы, 15,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Победы, 20,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Победы, 22,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Победы, 24,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34а,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34б,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Школьная, 34в,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40а,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44,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50,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50а,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52а,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6а,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Молодежная, 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60,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60а,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62,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62а,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Школьная, 64а,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9,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 Комсомольская, 10,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11,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 Комсомольская, 12,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16а,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Пионерская , 18а,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Победы, 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Победы , 1, б Дружбы , 1, б Дружбы , 5, б Дружбы , 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Школьная , 37,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Катерная , 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Морская , 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Морская , 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6,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Портовая, 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8а,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12,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12а,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14,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Портовая, 16,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7-9,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23,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25,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31,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66,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Советская , 67,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68,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73,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75,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77,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79,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82,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84,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86,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88,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</w:t>
            </w:r>
            <w:r w:rsidRPr="00AD5712">
              <w:lastRenderedPageBreak/>
              <w:t xml:space="preserve">Советская , 90,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92,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94,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96,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98,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102, </w:t>
            </w:r>
            <w:proofErr w:type="spellStart"/>
            <w:proofErr w:type="gramStart"/>
            <w:r w:rsidRPr="00AD5712">
              <w:t>ул</w:t>
            </w:r>
            <w:proofErr w:type="spellEnd"/>
            <w:proofErr w:type="gramEnd"/>
            <w:r w:rsidRPr="00AD5712">
              <w:t xml:space="preserve"> Советская , 104,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106,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108,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108а,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112,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112а,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Чехова, 71,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54,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Советская , 56, </w:t>
            </w:r>
            <w:proofErr w:type="spellStart"/>
            <w:r w:rsidRPr="00AD5712">
              <w:t>ул</w:t>
            </w:r>
            <w:proofErr w:type="spellEnd"/>
            <w:r w:rsidRPr="00AD5712">
              <w:t xml:space="preserve"> Чехова, 70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 w:rsidRPr="000D61F5">
              <w:t xml:space="preserve">ул. Советская, 81, ул. Шевченко,6,6а, , ул. Школьная, 26, ул. Школьная, 26, ул. Школьная, 58а, ул. Школьная, 27, </w:t>
            </w:r>
            <w:proofErr w:type="spellStart"/>
            <w:r w:rsidRPr="000D61F5">
              <w:t>ул</w:t>
            </w:r>
            <w:proofErr w:type="gramStart"/>
            <w:r w:rsidRPr="000D61F5">
              <w:t>.Ш</w:t>
            </w:r>
            <w:proofErr w:type="gramEnd"/>
            <w:r w:rsidRPr="000D61F5">
              <w:t>кольная</w:t>
            </w:r>
            <w:proofErr w:type="spellEnd"/>
            <w:r w:rsidRPr="000D61F5">
              <w:t xml:space="preserve">, 27, </w:t>
            </w:r>
            <w:proofErr w:type="spellStart"/>
            <w:r w:rsidRPr="000D61F5">
              <w:t>ул.Школьная</w:t>
            </w:r>
            <w:proofErr w:type="spellEnd"/>
            <w:r w:rsidRPr="000D61F5">
              <w:t xml:space="preserve">, 27, ул. Портовая,4, ул. Советская, 13, ул. Чехова, 68, ул. Победы,15, ул. Шевченко, 10, ул. Победы,10, ул. Школьная, 52, ул. Комсомольская, 6 , пер. Восточный, 15, ул. Победы, 12, 12а, ул. Московская, 4, ул. </w:t>
            </w:r>
            <w:proofErr w:type="gramStart"/>
            <w:r w:rsidRPr="000D61F5">
              <w:t>Портовая, 10, ул. Советская, 68а, ул. Советская, 80, ул. Советская, 104а, ул. Победы, 3</w:t>
            </w:r>
            <w:proofErr w:type="gramEnd"/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433839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proofErr w:type="gramStart"/>
            <w:r w:rsidRPr="000D61F5">
              <w:t>ул. Школьная, 34а, ул. Школьная, 54, ул. Школьная, 54, ул. Школьная, 54, пл. Ленина, 2, пл. Ленина, 4а, пл. Ленина, 4, ул. Школьная, 64, ул. Пионерская, ул. Победы,6,6а, ул. Морская, 14, ул. Морская, 16, ул. Победы, 24, ул. Пригородная, 2, ул. Советская, 1, ул. Пригородная, 2, ул. Пригородная, 2, ул. Пригородная, 2, ул. Пригородная, 2, ул. Портовая, 14а</w:t>
            </w:r>
            <w:proofErr w:type="gramEnd"/>
            <w:r w:rsidRPr="000D61F5">
              <w:t xml:space="preserve">, </w:t>
            </w:r>
            <w:proofErr w:type="gramStart"/>
            <w:r w:rsidRPr="000D61F5">
              <w:t>ул. Школьная, 35, ул. Школьная, 33, пл. Ленина, 3, ул. Чехова, 44, ул. Школьная, 33, ул. Советская, 46, ул. Советская, 50, ул. Советская, 60, ул. Советская, 62, ул. Советская, 83, ул. Советская, 100, ул. Советская, 64, ул. Советская, 110, ул. Советская, 114, ул. Советская, 114, ул. Морская, 7, ул. Портовая, 3, ул. Портовая, 4а, ул. Советская, 46, ул. Портовая, 7</w:t>
            </w:r>
            <w:proofErr w:type="gramEnd"/>
            <w:r w:rsidRPr="000D61F5">
              <w:t xml:space="preserve">, </w:t>
            </w:r>
            <w:proofErr w:type="gramStart"/>
            <w:r w:rsidRPr="000D61F5">
              <w:t>ул. Портовая, 9, ул. Портовая, 11а, ул. Приморская, 12, пл. Ленина, 9, пл. Ленина, 1, пл. Ленина, 5, ул. Школьная, 29, ул. Советская, 71, ул. Портовая, 11</w:t>
            </w:r>
            <w:proofErr w:type="gramEnd"/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844C5C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4D56"/>
    <w:rsid w:val="00205BC1"/>
    <w:rsid w:val="00216AEB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6F8E"/>
    <w:rsid w:val="00307012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33839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7CA4"/>
    <w:rsid w:val="005A0E3B"/>
    <w:rsid w:val="005B38F0"/>
    <w:rsid w:val="005B407A"/>
    <w:rsid w:val="005B6DF9"/>
    <w:rsid w:val="005D17AC"/>
    <w:rsid w:val="005D71DE"/>
    <w:rsid w:val="005F0BD4"/>
    <w:rsid w:val="00621BEF"/>
    <w:rsid w:val="00626649"/>
    <w:rsid w:val="0064467E"/>
    <w:rsid w:val="00645D5A"/>
    <w:rsid w:val="00650C17"/>
    <w:rsid w:val="00655137"/>
    <w:rsid w:val="00670318"/>
    <w:rsid w:val="00687AB9"/>
    <w:rsid w:val="006A4BCF"/>
    <w:rsid w:val="006C197F"/>
    <w:rsid w:val="006D31B6"/>
    <w:rsid w:val="006F5044"/>
    <w:rsid w:val="006F7DF2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3601E"/>
    <w:rsid w:val="00844C5C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21F05"/>
    <w:rsid w:val="0093198C"/>
    <w:rsid w:val="0094295E"/>
    <w:rsid w:val="00973775"/>
    <w:rsid w:val="00990AA8"/>
    <w:rsid w:val="009A79C8"/>
    <w:rsid w:val="009B3A73"/>
    <w:rsid w:val="009D12FA"/>
    <w:rsid w:val="009D505D"/>
    <w:rsid w:val="009E3D9A"/>
    <w:rsid w:val="00A02355"/>
    <w:rsid w:val="00A0245D"/>
    <w:rsid w:val="00A12DF7"/>
    <w:rsid w:val="00A21F50"/>
    <w:rsid w:val="00A35059"/>
    <w:rsid w:val="00A37271"/>
    <w:rsid w:val="00A37A4A"/>
    <w:rsid w:val="00A72830"/>
    <w:rsid w:val="00AA1FE5"/>
    <w:rsid w:val="00AA4E8B"/>
    <w:rsid w:val="00AB5396"/>
    <w:rsid w:val="00AC55BD"/>
    <w:rsid w:val="00AC56D0"/>
    <w:rsid w:val="00AD2F25"/>
    <w:rsid w:val="00AD5712"/>
    <w:rsid w:val="00B0725D"/>
    <w:rsid w:val="00B25691"/>
    <w:rsid w:val="00B35C95"/>
    <w:rsid w:val="00B5397A"/>
    <w:rsid w:val="00B54AC8"/>
    <w:rsid w:val="00B63857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D28"/>
    <w:rsid w:val="00BE1F15"/>
    <w:rsid w:val="00C0636C"/>
    <w:rsid w:val="00C26030"/>
    <w:rsid w:val="00C305FC"/>
    <w:rsid w:val="00C306D7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53B7"/>
    <w:rsid w:val="00E12977"/>
    <w:rsid w:val="00E20FEC"/>
    <w:rsid w:val="00E214EA"/>
    <w:rsid w:val="00E37C70"/>
    <w:rsid w:val="00E47394"/>
    <w:rsid w:val="00E511D0"/>
    <w:rsid w:val="00E56DE9"/>
    <w:rsid w:val="00E57C83"/>
    <w:rsid w:val="00E6247F"/>
    <w:rsid w:val="00E65DB9"/>
    <w:rsid w:val="00E70D45"/>
    <w:rsid w:val="00E836BB"/>
    <w:rsid w:val="00E85E77"/>
    <w:rsid w:val="00E94744"/>
    <w:rsid w:val="00EA63FA"/>
    <w:rsid w:val="00EC6315"/>
    <w:rsid w:val="00EF4AB9"/>
    <w:rsid w:val="00F026B3"/>
    <w:rsid w:val="00F10018"/>
    <w:rsid w:val="00F108A6"/>
    <w:rsid w:val="00F1264C"/>
    <w:rsid w:val="00F22ADB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2017-04-27T04:35:00Z</dcterms:created>
  <dcterms:modified xsi:type="dcterms:W3CDTF">2017-05-04T00:28:00Z</dcterms:modified>
</cp:coreProperties>
</file>